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AE" w:rsidRDefault="00C91009">
      <w:pPr>
        <w:rPr>
          <w:rFonts w:ascii="Cambria" w:hAnsi="Cambria"/>
        </w:rPr>
      </w:pPr>
      <w:r>
        <w:rPr>
          <w:rFonts w:ascii="Cambria" w:hAnsi="Cambria"/>
          <w:noProof/>
          <w:lang w:eastAsia="en-US"/>
        </w:rPr>
        <w:drawing>
          <wp:inline distT="0" distB="0" distL="0" distR="0" wp14:anchorId="438439A4" wp14:editId="42A41BD3">
            <wp:extent cx="3899175" cy="910908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175" cy="91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62" w:rsidRDefault="00C90762" w:rsidP="00C90762">
      <w:pPr>
        <w:rPr>
          <w:rFonts w:ascii="Cambria" w:hAnsi="Cambria"/>
        </w:rPr>
      </w:pPr>
    </w:p>
    <w:p w:rsidR="00C90762" w:rsidRDefault="00254E1C" w:rsidP="00C90762">
      <w:pPr>
        <w:jc w:val="center"/>
        <w:rPr>
          <w:rFonts w:ascii="Cambria" w:hAnsi="Cambria"/>
        </w:rPr>
      </w:pPr>
      <w:r>
        <w:rPr>
          <w:rFonts w:ascii="Cambria" w:hAnsi="Cambria"/>
        </w:rPr>
        <w:t>Goethe University</w:t>
      </w:r>
      <w:r w:rsidR="008D2030">
        <w:rPr>
          <w:rFonts w:ascii="Cambria" w:hAnsi="Cambria"/>
        </w:rPr>
        <w:t xml:space="preserve"> – </w:t>
      </w:r>
      <w:proofErr w:type="gramStart"/>
      <w:r w:rsidR="008D2030">
        <w:rPr>
          <w:rFonts w:ascii="Cambria" w:hAnsi="Cambria"/>
        </w:rPr>
        <w:t>Fall</w:t>
      </w:r>
      <w:proofErr w:type="gramEnd"/>
      <w:r w:rsidR="008D2030">
        <w:rPr>
          <w:rFonts w:ascii="Cambria" w:hAnsi="Cambria"/>
        </w:rPr>
        <w:t xml:space="preserve"> 2014</w:t>
      </w:r>
    </w:p>
    <w:p w:rsidR="006600FA" w:rsidRPr="00C91009" w:rsidRDefault="00CC69F5">
      <w:pPr>
        <w:rPr>
          <w:rFonts w:ascii="Cambria" w:hAnsi="Cambria"/>
        </w:rPr>
      </w:pPr>
      <w:r w:rsidRPr="00C91009">
        <w:rPr>
          <w:rFonts w:ascii="Cambria" w:hAnsi="Cambria"/>
        </w:rPr>
        <w:t>While abroad, students con</w:t>
      </w:r>
      <w:r w:rsidR="007070B2" w:rsidRPr="00C91009">
        <w:rPr>
          <w:rFonts w:ascii="Cambria" w:hAnsi="Cambria"/>
        </w:rPr>
        <w:t>tinue to pay their Case tuition rather than the tuition at</w:t>
      </w:r>
      <w:r w:rsidRPr="00C91009">
        <w:rPr>
          <w:rFonts w:ascii="Cambria" w:hAnsi="Cambria"/>
        </w:rPr>
        <w:t xml:space="preserve"> their new institution. In addition ther</w:t>
      </w:r>
      <w:r w:rsidR="00CB1B7E" w:rsidRPr="00C91009">
        <w:rPr>
          <w:rFonts w:ascii="Cambria" w:hAnsi="Cambria"/>
        </w:rPr>
        <w:t xml:space="preserve">e are several expenses students’ </w:t>
      </w:r>
      <w:r w:rsidRPr="00C91009">
        <w:rPr>
          <w:rFonts w:ascii="Cambria" w:hAnsi="Cambria"/>
        </w:rPr>
        <w:t>financial aid c</w:t>
      </w:r>
      <w:r w:rsidR="00CB1B7E" w:rsidRPr="00C91009">
        <w:rPr>
          <w:rFonts w:ascii="Cambria" w:hAnsi="Cambria"/>
        </w:rPr>
        <w:t xml:space="preserve">an potentially help to fund. </w:t>
      </w:r>
      <w:r w:rsidRPr="00C91009">
        <w:rPr>
          <w:rFonts w:ascii="Cambria" w:hAnsi="Cambria"/>
        </w:rPr>
        <w:t xml:space="preserve">These are listed in the table </w:t>
      </w:r>
      <w:r w:rsidR="00CB1B7E" w:rsidRPr="00C91009">
        <w:rPr>
          <w:rFonts w:ascii="Cambria" w:hAnsi="Cambria"/>
        </w:rPr>
        <w:t>below.</w:t>
      </w:r>
    </w:p>
    <w:tbl>
      <w:tblPr>
        <w:tblStyle w:val="TableGrid"/>
        <w:tblpPr w:leftFromText="180" w:rightFromText="180" w:vertAnchor="page" w:horzAnchor="margin" w:tblpY="5341"/>
        <w:tblW w:w="0" w:type="auto"/>
        <w:tblLook w:val="04A0" w:firstRow="1" w:lastRow="0" w:firstColumn="1" w:lastColumn="0" w:noHBand="0" w:noVBand="1"/>
      </w:tblPr>
      <w:tblGrid>
        <w:gridCol w:w="3192"/>
        <w:gridCol w:w="1326"/>
        <w:gridCol w:w="5058"/>
      </w:tblGrid>
      <w:tr w:rsidR="00C80BAE" w:rsidRPr="00C91009" w:rsidTr="00C80BAE">
        <w:tc>
          <w:tcPr>
            <w:tcW w:w="3192" w:type="dxa"/>
          </w:tcPr>
          <w:p w:rsidR="00C80BAE" w:rsidRPr="00C91009" w:rsidRDefault="00C80BAE" w:rsidP="00C80BAE">
            <w:pPr>
              <w:rPr>
                <w:rFonts w:ascii="Cambria" w:hAnsi="Cambria"/>
              </w:rPr>
            </w:pPr>
          </w:p>
        </w:tc>
        <w:tc>
          <w:tcPr>
            <w:tcW w:w="1326" w:type="dxa"/>
          </w:tcPr>
          <w:p w:rsidR="00C80BAE" w:rsidRPr="00C91009" w:rsidRDefault="00C80BAE" w:rsidP="00C80BAE">
            <w:pPr>
              <w:jc w:val="center"/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>Amount</w:t>
            </w:r>
          </w:p>
        </w:tc>
        <w:tc>
          <w:tcPr>
            <w:tcW w:w="5058" w:type="dxa"/>
          </w:tcPr>
          <w:p w:rsidR="00C80BAE" w:rsidRPr="00C91009" w:rsidRDefault="00C80BAE" w:rsidP="00C80BAE">
            <w:pPr>
              <w:jc w:val="center"/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>Notes</w:t>
            </w:r>
          </w:p>
        </w:tc>
      </w:tr>
      <w:tr w:rsidR="00C80BAE" w:rsidRPr="00C91009" w:rsidTr="00C80BAE">
        <w:tc>
          <w:tcPr>
            <w:tcW w:w="3192" w:type="dxa"/>
          </w:tcPr>
          <w:p w:rsidR="00C80BAE" w:rsidRPr="00C91009" w:rsidRDefault="00C80BAE" w:rsidP="00EB1A18">
            <w:pPr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>Housing</w:t>
            </w:r>
            <w:r w:rsidR="006F1642">
              <w:rPr>
                <w:rFonts w:ascii="Cambria" w:hAnsi="Cambria"/>
              </w:rPr>
              <w:t xml:space="preserve"> </w:t>
            </w:r>
          </w:p>
        </w:tc>
        <w:tc>
          <w:tcPr>
            <w:tcW w:w="1326" w:type="dxa"/>
          </w:tcPr>
          <w:p w:rsidR="00C80BAE" w:rsidRPr="00C91009" w:rsidRDefault="002D6089" w:rsidP="0083307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007DB4">
              <w:rPr>
                <w:rFonts w:ascii="Cambria" w:hAnsi="Cambria"/>
              </w:rPr>
              <w:t>4,0</w:t>
            </w:r>
            <w:r w:rsidR="008D2030">
              <w:rPr>
                <w:rFonts w:ascii="Cambria" w:hAnsi="Cambria"/>
              </w:rPr>
              <w:t>00</w:t>
            </w:r>
          </w:p>
        </w:tc>
        <w:tc>
          <w:tcPr>
            <w:tcW w:w="5058" w:type="dxa"/>
          </w:tcPr>
          <w:p w:rsidR="00C80BAE" w:rsidRPr="00C91009" w:rsidRDefault="008F5284" w:rsidP="00EB1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Self-catered university housing</w:t>
            </w:r>
            <w:r w:rsidR="008C58CC">
              <w:rPr>
                <w:rFonts w:ascii="Cambria" w:hAnsi="Cambria"/>
              </w:rPr>
              <w:t xml:space="preserve"> </w:t>
            </w:r>
            <w:r w:rsidR="00942E0B">
              <w:rPr>
                <w:rFonts w:ascii="Cambria" w:hAnsi="Cambria"/>
              </w:rPr>
              <w:t xml:space="preserve"> </w:t>
            </w:r>
          </w:p>
        </w:tc>
      </w:tr>
      <w:tr w:rsidR="00C80BAE" w:rsidRPr="00C91009" w:rsidTr="00C80BAE">
        <w:tc>
          <w:tcPr>
            <w:tcW w:w="3192" w:type="dxa"/>
          </w:tcPr>
          <w:p w:rsidR="00C80BAE" w:rsidRPr="00C91009" w:rsidRDefault="00C80BAE" w:rsidP="00C80BAE">
            <w:pPr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>Estimated Cost for Me</w:t>
            </w:r>
            <w:r w:rsidR="006C277D">
              <w:rPr>
                <w:rFonts w:ascii="Cambria" w:hAnsi="Cambria"/>
              </w:rPr>
              <w:t>als</w:t>
            </w:r>
          </w:p>
        </w:tc>
        <w:tc>
          <w:tcPr>
            <w:tcW w:w="1326" w:type="dxa"/>
          </w:tcPr>
          <w:p w:rsidR="00C80BAE" w:rsidRPr="00C91009" w:rsidRDefault="0088023E" w:rsidP="00196E0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007DB4">
              <w:rPr>
                <w:rFonts w:ascii="Cambria" w:hAnsi="Cambria"/>
              </w:rPr>
              <w:t>1,50</w:t>
            </w:r>
            <w:r w:rsidR="008D2030">
              <w:rPr>
                <w:rFonts w:ascii="Cambria" w:hAnsi="Cambria"/>
              </w:rPr>
              <w:t>0</w:t>
            </w:r>
          </w:p>
        </w:tc>
        <w:tc>
          <w:tcPr>
            <w:tcW w:w="5058" w:type="dxa"/>
          </w:tcPr>
          <w:p w:rsidR="00C80BAE" w:rsidRPr="00C91009" w:rsidRDefault="00D65DBA" w:rsidP="004E5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Students are expected to provide their own meals</w:t>
            </w:r>
          </w:p>
        </w:tc>
      </w:tr>
      <w:tr w:rsidR="00C80BAE" w:rsidRPr="00C91009" w:rsidTr="00C80BAE">
        <w:tc>
          <w:tcPr>
            <w:tcW w:w="3192" w:type="dxa"/>
          </w:tcPr>
          <w:p w:rsidR="00C80BAE" w:rsidRPr="00C91009" w:rsidRDefault="00C80BAE" w:rsidP="00C80BAE">
            <w:pPr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>Books</w:t>
            </w:r>
          </w:p>
        </w:tc>
        <w:tc>
          <w:tcPr>
            <w:tcW w:w="1326" w:type="dxa"/>
          </w:tcPr>
          <w:p w:rsidR="00C80BAE" w:rsidRPr="00C91009" w:rsidRDefault="00700697" w:rsidP="00E20EEB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007DB4">
              <w:rPr>
                <w:rFonts w:ascii="Cambria" w:hAnsi="Cambria"/>
              </w:rPr>
              <w:t>30</w:t>
            </w:r>
            <w:r w:rsidR="00833070">
              <w:rPr>
                <w:rFonts w:ascii="Cambria" w:hAnsi="Cambria"/>
              </w:rPr>
              <w:t>0</w:t>
            </w:r>
          </w:p>
        </w:tc>
        <w:tc>
          <w:tcPr>
            <w:tcW w:w="5058" w:type="dxa"/>
          </w:tcPr>
          <w:p w:rsidR="00C80BAE" w:rsidRPr="00C91009" w:rsidRDefault="00C80BAE" w:rsidP="00C80BAE">
            <w:pPr>
              <w:rPr>
                <w:rFonts w:ascii="Cambria" w:hAnsi="Cambria"/>
              </w:rPr>
            </w:pPr>
          </w:p>
        </w:tc>
      </w:tr>
      <w:tr w:rsidR="00C80BAE" w:rsidRPr="00C91009" w:rsidTr="00C80BAE">
        <w:tc>
          <w:tcPr>
            <w:tcW w:w="3192" w:type="dxa"/>
          </w:tcPr>
          <w:p w:rsidR="00C80BAE" w:rsidRPr="00C91009" w:rsidRDefault="00C80BAE" w:rsidP="00C80BAE">
            <w:pPr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>Passport</w:t>
            </w:r>
          </w:p>
        </w:tc>
        <w:tc>
          <w:tcPr>
            <w:tcW w:w="1326" w:type="dxa"/>
          </w:tcPr>
          <w:p w:rsidR="00C80BAE" w:rsidRPr="00C91009" w:rsidRDefault="00C80BAE" w:rsidP="00C80BAE">
            <w:pPr>
              <w:jc w:val="right"/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>$135</w:t>
            </w:r>
          </w:p>
        </w:tc>
        <w:tc>
          <w:tcPr>
            <w:tcW w:w="5058" w:type="dxa"/>
          </w:tcPr>
          <w:p w:rsidR="00C80BAE" w:rsidRPr="00C91009" w:rsidRDefault="00C80BAE" w:rsidP="00C80BAE">
            <w:pPr>
              <w:rPr>
                <w:rFonts w:ascii="Cambria" w:hAnsi="Cambria"/>
              </w:rPr>
            </w:pPr>
          </w:p>
        </w:tc>
      </w:tr>
      <w:tr w:rsidR="00C80BAE" w:rsidRPr="00C91009" w:rsidTr="00C80BAE">
        <w:tc>
          <w:tcPr>
            <w:tcW w:w="3192" w:type="dxa"/>
          </w:tcPr>
          <w:p w:rsidR="00C80BAE" w:rsidRPr="00C91009" w:rsidRDefault="00C80BAE" w:rsidP="00C80BAE">
            <w:pPr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>Airfare</w:t>
            </w:r>
          </w:p>
        </w:tc>
        <w:tc>
          <w:tcPr>
            <w:tcW w:w="1326" w:type="dxa"/>
          </w:tcPr>
          <w:p w:rsidR="00C80BAE" w:rsidRPr="00C91009" w:rsidRDefault="000D3E7F" w:rsidP="0083307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765626">
              <w:rPr>
                <w:rFonts w:ascii="Cambria" w:hAnsi="Cambria"/>
              </w:rPr>
              <w:t>1,2</w:t>
            </w:r>
            <w:r w:rsidR="00833070">
              <w:rPr>
                <w:rFonts w:ascii="Cambria" w:hAnsi="Cambria"/>
              </w:rPr>
              <w:t>50</w:t>
            </w:r>
          </w:p>
        </w:tc>
        <w:tc>
          <w:tcPr>
            <w:tcW w:w="5058" w:type="dxa"/>
          </w:tcPr>
          <w:p w:rsidR="00C80BAE" w:rsidRPr="00C91009" w:rsidRDefault="002D6089" w:rsidP="006E7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Roundtrip to </w:t>
            </w:r>
            <w:r w:rsidR="00765626">
              <w:rPr>
                <w:rFonts w:ascii="Cambria" w:hAnsi="Cambria"/>
              </w:rPr>
              <w:t>Frankfurt</w:t>
            </w:r>
          </w:p>
        </w:tc>
      </w:tr>
      <w:tr w:rsidR="00C80BAE" w:rsidRPr="00C91009" w:rsidTr="00C80BAE">
        <w:tc>
          <w:tcPr>
            <w:tcW w:w="3192" w:type="dxa"/>
          </w:tcPr>
          <w:p w:rsidR="00C80BAE" w:rsidRPr="00C91009" w:rsidRDefault="00C80BAE" w:rsidP="00C80BAE">
            <w:pPr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>Local Transportation</w:t>
            </w:r>
          </w:p>
        </w:tc>
        <w:tc>
          <w:tcPr>
            <w:tcW w:w="1326" w:type="dxa"/>
          </w:tcPr>
          <w:p w:rsidR="00C80BAE" w:rsidRPr="00C91009" w:rsidRDefault="00152F95" w:rsidP="008D203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007DB4">
              <w:rPr>
                <w:rFonts w:ascii="Cambria" w:hAnsi="Cambria"/>
              </w:rPr>
              <w:t>150</w:t>
            </w:r>
          </w:p>
        </w:tc>
        <w:tc>
          <w:tcPr>
            <w:tcW w:w="5058" w:type="dxa"/>
          </w:tcPr>
          <w:p w:rsidR="00C80BAE" w:rsidRPr="00C91009" w:rsidRDefault="00C80BAE" w:rsidP="00C80BAE">
            <w:pPr>
              <w:rPr>
                <w:rFonts w:ascii="Cambria" w:hAnsi="Cambria"/>
              </w:rPr>
            </w:pPr>
          </w:p>
        </w:tc>
      </w:tr>
      <w:tr w:rsidR="00C80BAE" w:rsidRPr="00C91009" w:rsidTr="00C80BAE">
        <w:tc>
          <w:tcPr>
            <w:tcW w:w="3192" w:type="dxa"/>
          </w:tcPr>
          <w:p w:rsidR="00C80BAE" w:rsidRPr="00C91009" w:rsidRDefault="006F1642" w:rsidP="00C80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Visa</w:t>
            </w:r>
          </w:p>
        </w:tc>
        <w:tc>
          <w:tcPr>
            <w:tcW w:w="1326" w:type="dxa"/>
          </w:tcPr>
          <w:p w:rsidR="00C80BAE" w:rsidRPr="00C91009" w:rsidRDefault="00647820" w:rsidP="006E7C4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833070">
              <w:rPr>
                <w:rFonts w:ascii="Cambria" w:hAnsi="Cambria"/>
              </w:rPr>
              <w:t>250</w:t>
            </w:r>
          </w:p>
        </w:tc>
        <w:tc>
          <w:tcPr>
            <w:tcW w:w="5058" w:type="dxa"/>
          </w:tcPr>
          <w:p w:rsidR="00C80BAE" w:rsidRPr="00C91009" w:rsidRDefault="00C80BAE" w:rsidP="00C80BAE">
            <w:pPr>
              <w:rPr>
                <w:rFonts w:ascii="Cambria" w:hAnsi="Cambria"/>
              </w:rPr>
            </w:pPr>
          </w:p>
        </w:tc>
      </w:tr>
      <w:tr w:rsidR="00C80BAE" w:rsidRPr="00C91009" w:rsidTr="00C80BAE">
        <w:tc>
          <w:tcPr>
            <w:tcW w:w="3192" w:type="dxa"/>
          </w:tcPr>
          <w:p w:rsidR="00C80BAE" w:rsidRPr="00C91009" w:rsidRDefault="00C80BAE" w:rsidP="006C277D">
            <w:pPr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 xml:space="preserve">Miscellaneous Spending </w:t>
            </w:r>
          </w:p>
        </w:tc>
        <w:tc>
          <w:tcPr>
            <w:tcW w:w="1326" w:type="dxa"/>
          </w:tcPr>
          <w:p w:rsidR="00C80BAE" w:rsidRPr="00C91009" w:rsidRDefault="0014029C" w:rsidP="0083307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2C3453">
              <w:rPr>
                <w:rFonts w:ascii="Cambria" w:hAnsi="Cambria"/>
              </w:rPr>
              <w:t>1,</w:t>
            </w:r>
            <w:r w:rsidR="00833070">
              <w:rPr>
                <w:rFonts w:ascii="Cambria" w:hAnsi="Cambria"/>
              </w:rPr>
              <w:t>552</w:t>
            </w:r>
          </w:p>
        </w:tc>
        <w:tc>
          <w:tcPr>
            <w:tcW w:w="5058" w:type="dxa"/>
          </w:tcPr>
          <w:p w:rsidR="00C80BAE" w:rsidRPr="00C91009" w:rsidRDefault="00BF7FD5" w:rsidP="00C80BAE">
            <w:pPr>
              <w:rPr>
                <w:rFonts w:ascii="Cambria" w:hAnsi="Cambria"/>
              </w:rPr>
            </w:pPr>
            <w:r w:rsidRPr="00BF7FD5">
              <w:rPr>
                <w:rFonts w:ascii="Cambria" w:hAnsi="Cambria"/>
              </w:rPr>
              <w:t>Can include more expensive personal purchases such as clothes, haircuts, soap, shampoo, toiletries, cleaning supplies, etc.</w:t>
            </w:r>
          </w:p>
        </w:tc>
      </w:tr>
      <w:tr w:rsidR="00700697" w:rsidRPr="00C91009" w:rsidTr="00C80BAE">
        <w:tc>
          <w:tcPr>
            <w:tcW w:w="3192" w:type="dxa"/>
          </w:tcPr>
          <w:p w:rsidR="00700697" w:rsidRPr="00C91009" w:rsidRDefault="00700697" w:rsidP="00C80BAE">
            <w:pPr>
              <w:rPr>
                <w:rFonts w:ascii="Cambria" w:hAnsi="Cambria"/>
              </w:rPr>
            </w:pPr>
            <w:r w:rsidRPr="00C91009">
              <w:rPr>
                <w:rFonts w:ascii="Cambria" w:hAnsi="Cambria"/>
              </w:rPr>
              <w:t>Total</w:t>
            </w:r>
          </w:p>
        </w:tc>
        <w:tc>
          <w:tcPr>
            <w:tcW w:w="1326" w:type="dxa"/>
          </w:tcPr>
          <w:p w:rsidR="00700697" w:rsidRPr="00C91009" w:rsidRDefault="00196E00" w:rsidP="008D203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007DB4">
              <w:rPr>
                <w:rFonts w:ascii="Cambria" w:hAnsi="Cambria"/>
              </w:rPr>
              <w:t>9,137</w:t>
            </w:r>
            <w:bookmarkStart w:id="0" w:name="_GoBack"/>
            <w:bookmarkEnd w:id="0"/>
          </w:p>
        </w:tc>
        <w:tc>
          <w:tcPr>
            <w:tcW w:w="5058" w:type="dxa"/>
          </w:tcPr>
          <w:p w:rsidR="00700697" w:rsidRPr="00C91009" w:rsidRDefault="00700697" w:rsidP="00C80BAE">
            <w:pPr>
              <w:rPr>
                <w:rFonts w:ascii="Cambria" w:hAnsi="Cambria"/>
              </w:rPr>
            </w:pPr>
          </w:p>
        </w:tc>
      </w:tr>
    </w:tbl>
    <w:p w:rsidR="007070B2" w:rsidRPr="00C91009" w:rsidRDefault="007070B2">
      <w:pPr>
        <w:rPr>
          <w:rFonts w:ascii="Cambria" w:hAnsi="Cambria"/>
        </w:rPr>
      </w:pPr>
    </w:p>
    <w:p w:rsidR="00C0061C" w:rsidRPr="00C91009" w:rsidRDefault="003C43CD">
      <w:pPr>
        <w:rPr>
          <w:rFonts w:ascii="Cambria" w:hAnsi="Cambria"/>
        </w:rPr>
      </w:pPr>
      <w:r w:rsidRPr="00C91009">
        <w:rPr>
          <w:rFonts w:ascii="Cambria" w:hAnsi="Cambria"/>
        </w:rPr>
        <w:t>All of t</w:t>
      </w:r>
      <w:r w:rsidR="00CB1B7E" w:rsidRPr="00C91009">
        <w:rPr>
          <w:rFonts w:ascii="Cambria" w:hAnsi="Cambria"/>
        </w:rPr>
        <w:t>hese costs are considered academic in nature and can therefore be considered for coverage from fina</w:t>
      </w:r>
      <w:r w:rsidRPr="00C91009">
        <w:rPr>
          <w:rFonts w:ascii="Cambria" w:hAnsi="Cambria"/>
        </w:rPr>
        <w:t>ncial aid. Other expenses that may receive aid</w:t>
      </w:r>
      <w:r w:rsidR="00CB1B7E" w:rsidRPr="00C91009">
        <w:rPr>
          <w:rFonts w:ascii="Cambria" w:hAnsi="Cambria"/>
        </w:rPr>
        <w:t xml:space="preserve"> include immunizations and additional passport and visa fees for students that are not US citizens.</w:t>
      </w:r>
    </w:p>
    <w:p w:rsidR="00C0061C" w:rsidRPr="00C91009" w:rsidRDefault="00C0061C">
      <w:pPr>
        <w:rPr>
          <w:rFonts w:ascii="Cambria" w:hAnsi="Cambria"/>
        </w:rPr>
      </w:pPr>
    </w:p>
    <w:p w:rsidR="007070B2" w:rsidRPr="00C91009" w:rsidRDefault="00CB1B7E">
      <w:pPr>
        <w:rPr>
          <w:rFonts w:ascii="Cambria" w:hAnsi="Cambria"/>
        </w:rPr>
      </w:pPr>
      <w:r w:rsidRPr="00C91009">
        <w:rPr>
          <w:rFonts w:ascii="Cambria" w:hAnsi="Cambria"/>
        </w:rPr>
        <w:t>Please note that personal expenses such as travel, shopping, and</w:t>
      </w:r>
      <w:r w:rsidR="00C0061C" w:rsidRPr="00C91009">
        <w:rPr>
          <w:rFonts w:ascii="Cambria" w:hAnsi="Cambria"/>
        </w:rPr>
        <w:t xml:space="preserve"> going out to eat will not be covered, and should therefore be planned for accordingly. </w:t>
      </w:r>
    </w:p>
    <w:sectPr w:rsidR="007070B2" w:rsidRPr="00C9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80"/>
    <w:rsid w:val="00007DB4"/>
    <w:rsid w:val="000D3E7F"/>
    <w:rsid w:val="0014029C"/>
    <w:rsid w:val="00152F95"/>
    <w:rsid w:val="00196E00"/>
    <w:rsid w:val="001A0060"/>
    <w:rsid w:val="0020653B"/>
    <w:rsid w:val="00254E1C"/>
    <w:rsid w:val="0028283B"/>
    <w:rsid w:val="002B3E4E"/>
    <w:rsid w:val="002C3453"/>
    <w:rsid w:val="002D6089"/>
    <w:rsid w:val="002F6780"/>
    <w:rsid w:val="00381161"/>
    <w:rsid w:val="003C43CD"/>
    <w:rsid w:val="00433978"/>
    <w:rsid w:val="004A0360"/>
    <w:rsid w:val="004B2D47"/>
    <w:rsid w:val="004B3556"/>
    <w:rsid w:val="004E58B3"/>
    <w:rsid w:val="005124E6"/>
    <w:rsid w:val="005576A3"/>
    <w:rsid w:val="00592B2E"/>
    <w:rsid w:val="00637321"/>
    <w:rsid w:val="00647820"/>
    <w:rsid w:val="006B0600"/>
    <w:rsid w:val="006C277D"/>
    <w:rsid w:val="006E7C46"/>
    <w:rsid w:val="006F1642"/>
    <w:rsid w:val="00700697"/>
    <w:rsid w:val="007070B2"/>
    <w:rsid w:val="00765626"/>
    <w:rsid w:val="007733A9"/>
    <w:rsid w:val="00833070"/>
    <w:rsid w:val="0088023E"/>
    <w:rsid w:val="00885565"/>
    <w:rsid w:val="008C58CC"/>
    <w:rsid w:val="008D2030"/>
    <w:rsid w:val="008F1A9A"/>
    <w:rsid w:val="008F5284"/>
    <w:rsid w:val="00942E0B"/>
    <w:rsid w:val="009434B7"/>
    <w:rsid w:val="00A12391"/>
    <w:rsid w:val="00A87565"/>
    <w:rsid w:val="00AD0105"/>
    <w:rsid w:val="00AD68F4"/>
    <w:rsid w:val="00B26645"/>
    <w:rsid w:val="00B72ACE"/>
    <w:rsid w:val="00BD6C54"/>
    <w:rsid w:val="00BF554E"/>
    <w:rsid w:val="00BF7FD5"/>
    <w:rsid w:val="00C0061C"/>
    <w:rsid w:val="00C007C4"/>
    <w:rsid w:val="00C76FFF"/>
    <w:rsid w:val="00C80BAE"/>
    <w:rsid w:val="00C90762"/>
    <w:rsid w:val="00C91009"/>
    <w:rsid w:val="00CB1B7E"/>
    <w:rsid w:val="00CC69F5"/>
    <w:rsid w:val="00D13A02"/>
    <w:rsid w:val="00D3689B"/>
    <w:rsid w:val="00D54FC0"/>
    <w:rsid w:val="00D65DBA"/>
    <w:rsid w:val="00D667E4"/>
    <w:rsid w:val="00D71AF8"/>
    <w:rsid w:val="00E20EEB"/>
    <w:rsid w:val="00E451C7"/>
    <w:rsid w:val="00E87E31"/>
    <w:rsid w:val="00EB1A18"/>
    <w:rsid w:val="00ED5B4C"/>
    <w:rsid w:val="00F27D87"/>
    <w:rsid w:val="00F63275"/>
    <w:rsid w:val="00F77D12"/>
    <w:rsid w:val="00F837B5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7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7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B88A-B87B-4B72-BB84-CF15B899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User</cp:lastModifiedBy>
  <cp:revision>2</cp:revision>
  <dcterms:created xsi:type="dcterms:W3CDTF">2014-05-08T15:32:00Z</dcterms:created>
  <dcterms:modified xsi:type="dcterms:W3CDTF">2014-05-08T15:32:00Z</dcterms:modified>
</cp:coreProperties>
</file>